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DF667" w14:textId="77777777" w:rsidR="000F1838" w:rsidRDefault="000F1838" w:rsidP="000F1838">
      <w:pPr>
        <w:pStyle w:val="p1"/>
        <w:rPr>
          <w:b/>
          <w:bCs/>
        </w:rPr>
      </w:pPr>
      <w:bookmarkStart w:id="0" w:name="_GoBack"/>
      <w:bookmarkEnd w:id="0"/>
    </w:p>
    <w:p w14:paraId="0822B3B3" w14:textId="77777777" w:rsidR="000F1838" w:rsidRDefault="000F1838" w:rsidP="000F1838">
      <w:pPr>
        <w:pStyle w:val="p1"/>
      </w:pPr>
      <w:r>
        <w:rPr>
          <w:b/>
          <w:bCs/>
        </w:rPr>
        <w:t>Centre for Chinese Law</w:t>
      </w:r>
      <w:r>
        <w:rPr>
          <w:b/>
          <w:bCs/>
        </w:rPr>
        <w:br/>
      </w:r>
      <w:r>
        <w:rPr>
          <w:rStyle w:val="s1"/>
          <w:rFonts w:hint="default"/>
          <w:b/>
          <w:bCs/>
        </w:rPr>
        <w:t>中國法研究中心</w:t>
      </w:r>
      <w:r>
        <w:rPr>
          <w:b/>
          <w:bCs/>
        </w:rPr>
        <w:br/>
        <w:t>Faculty of Law, The University of Hong Kong</w:t>
      </w:r>
    </w:p>
    <w:p w14:paraId="36548B42" w14:textId="77777777" w:rsidR="00050C96" w:rsidRPr="000F1838" w:rsidRDefault="00050C96" w:rsidP="00050C96">
      <w:pPr>
        <w:tabs>
          <w:tab w:val="left" w:pos="4200"/>
        </w:tabs>
        <w:spacing w:before="120"/>
        <w:jc w:val="center"/>
        <w:rPr>
          <w:rFonts w:ascii="Times New Roman" w:eastAsiaTheme="minorEastAsia" w:hAnsi="Times New Roman"/>
          <w:b/>
          <w:bCs/>
          <w:color w:val="0433FF"/>
          <w:kern w:val="0"/>
          <w:szCs w:val="24"/>
          <w:lang w:val="en-GB" w:eastAsia="zh-CN"/>
        </w:rPr>
      </w:pPr>
      <w:r w:rsidRPr="000F1838">
        <w:rPr>
          <w:rFonts w:ascii="Times New Roman" w:eastAsiaTheme="minorEastAsia" w:hAnsi="Times New Roman"/>
          <w:b/>
          <w:bCs/>
          <w:color w:val="0433FF"/>
          <w:kern w:val="0"/>
          <w:szCs w:val="24"/>
          <w:lang w:val="en-GB" w:eastAsia="zh-CN"/>
        </w:rPr>
        <w:t>Peter Allan Memorial Lecture 2015</w:t>
      </w:r>
    </w:p>
    <w:p w14:paraId="646F236A" w14:textId="77777777" w:rsidR="00050C96" w:rsidRPr="000F1838" w:rsidRDefault="00050C96" w:rsidP="00050C96">
      <w:pPr>
        <w:tabs>
          <w:tab w:val="left" w:pos="4200"/>
        </w:tabs>
        <w:spacing w:before="120"/>
        <w:jc w:val="center"/>
        <w:rPr>
          <w:rFonts w:ascii="Times New Roman" w:hAnsi="Times New Roman"/>
          <w:b/>
          <w:szCs w:val="24"/>
          <w:lang w:eastAsia="zh-CN"/>
        </w:rPr>
      </w:pPr>
      <w:r w:rsidRPr="000F1838">
        <w:rPr>
          <w:rFonts w:ascii="Times New Roman" w:hAnsi="Times New Roman"/>
          <w:b/>
          <w:szCs w:val="24"/>
          <w:lang w:eastAsia="zh-CN"/>
        </w:rPr>
        <w:t>Contribution of the United Nations ad hoc Tribunals to the Development of International Criminal Law</w:t>
      </w:r>
    </w:p>
    <w:p w14:paraId="16AE7B71" w14:textId="77777777" w:rsidR="00050C96" w:rsidRPr="000F1838" w:rsidRDefault="00050C96" w:rsidP="00050C96">
      <w:pPr>
        <w:snapToGrid w:val="0"/>
        <w:spacing w:before="240"/>
        <w:jc w:val="center"/>
        <w:rPr>
          <w:rFonts w:ascii="Times New Roman" w:hAnsi="Times New Roman"/>
          <w:szCs w:val="24"/>
        </w:rPr>
      </w:pPr>
      <w:r w:rsidRPr="000F1838">
        <w:rPr>
          <w:rFonts w:ascii="Times New Roman" w:hAnsi="Times New Roman"/>
          <w:szCs w:val="24"/>
          <w:lang w:eastAsia="zh-CN"/>
        </w:rPr>
        <w:t xml:space="preserve">Judge Liu </w:t>
      </w:r>
      <w:proofErr w:type="spellStart"/>
      <w:r w:rsidRPr="000F1838">
        <w:rPr>
          <w:rFonts w:ascii="Times New Roman" w:hAnsi="Times New Roman"/>
          <w:szCs w:val="24"/>
          <w:lang w:eastAsia="zh-CN"/>
        </w:rPr>
        <w:t>Daqun</w:t>
      </w:r>
      <w:proofErr w:type="spellEnd"/>
    </w:p>
    <w:p w14:paraId="3EC26109" w14:textId="77777777" w:rsidR="00050C96" w:rsidRPr="000F1838" w:rsidRDefault="00050C96" w:rsidP="00050C96">
      <w:pPr>
        <w:spacing w:before="240"/>
        <w:jc w:val="center"/>
        <w:rPr>
          <w:rFonts w:ascii="Times New Roman" w:hAnsi="Times New Roman"/>
          <w:szCs w:val="24"/>
          <w:lang w:eastAsia="zh-CN"/>
        </w:rPr>
      </w:pPr>
      <w:r w:rsidRPr="000F1838">
        <w:rPr>
          <w:rFonts w:ascii="Times New Roman" w:hAnsi="Times New Roman"/>
          <w:szCs w:val="24"/>
          <w:lang w:eastAsia="zh-CN"/>
        </w:rPr>
        <w:t>Judge of the Appeals Chamber</w:t>
      </w:r>
      <w:r w:rsidRPr="000F1838">
        <w:rPr>
          <w:rFonts w:ascii="Times New Roman" w:hAnsi="Times New Roman"/>
          <w:szCs w:val="24"/>
          <w:lang w:eastAsia="zh-CN"/>
        </w:rPr>
        <w:br/>
        <w:t>International Criminal Tribunal for the Former Yugoslavia</w:t>
      </w:r>
    </w:p>
    <w:p w14:paraId="42117EF2" w14:textId="77777777" w:rsidR="00050C96" w:rsidRPr="000F1838" w:rsidRDefault="00050C96" w:rsidP="00050C96">
      <w:pPr>
        <w:snapToGrid w:val="0"/>
        <w:jc w:val="center"/>
        <w:rPr>
          <w:rFonts w:ascii="Times New Roman" w:hAnsi="Times New Roman"/>
          <w:szCs w:val="24"/>
          <w:lang w:eastAsia="zh-CN"/>
        </w:rPr>
      </w:pPr>
    </w:p>
    <w:p w14:paraId="343FDA3D" w14:textId="77777777" w:rsidR="00050C96" w:rsidRPr="000F1838" w:rsidRDefault="00050C96" w:rsidP="00050C96">
      <w:pPr>
        <w:snapToGrid w:val="0"/>
        <w:jc w:val="center"/>
        <w:rPr>
          <w:rFonts w:ascii="Times New Roman" w:hAnsi="Times New Roman"/>
          <w:szCs w:val="24"/>
          <w:lang w:eastAsia="zh-CN"/>
        </w:rPr>
      </w:pPr>
      <w:r w:rsidRPr="000F1838">
        <w:rPr>
          <w:rFonts w:ascii="Times New Roman" w:hAnsi="Times New Roman"/>
          <w:szCs w:val="24"/>
          <w:lang w:eastAsia="zh-CN"/>
        </w:rPr>
        <w:t>Time: 5:30-6:45pm, 1 April 2015</w:t>
      </w:r>
    </w:p>
    <w:p w14:paraId="10A42536" w14:textId="77777777" w:rsidR="00050C96" w:rsidRPr="000F1838" w:rsidRDefault="00050C96" w:rsidP="00050C96">
      <w:pPr>
        <w:snapToGrid w:val="0"/>
        <w:spacing w:before="120"/>
        <w:jc w:val="center"/>
        <w:rPr>
          <w:rFonts w:ascii="Times New Roman" w:hAnsi="Times New Roman"/>
          <w:szCs w:val="24"/>
          <w:lang w:eastAsia="zh-CN"/>
        </w:rPr>
      </w:pPr>
      <w:r w:rsidRPr="000F1838">
        <w:rPr>
          <w:rFonts w:ascii="Times New Roman" w:hAnsi="Times New Roman"/>
          <w:szCs w:val="24"/>
          <w:lang w:eastAsia="zh-CN"/>
        </w:rPr>
        <w:t>Venue: 11/F, Cheng Yu Tung Tower, HKU</w:t>
      </w:r>
    </w:p>
    <w:p w14:paraId="0434544C" w14:textId="77777777" w:rsidR="00050C96" w:rsidRPr="000F1838" w:rsidRDefault="00AA1AF6" w:rsidP="00050C96">
      <w:pPr>
        <w:snapToGrid w:val="0"/>
        <w:spacing w:before="120"/>
        <w:jc w:val="center"/>
        <w:rPr>
          <w:rFonts w:ascii="Times New Roman" w:hAnsi="Times New Roman"/>
          <w:szCs w:val="24"/>
          <w:lang w:eastAsia="zh-CN"/>
        </w:rPr>
      </w:pPr>
      <w:r w:rsidRPr="000F1838">
        <w:rPr>
          <w:rFonts w:ascii="Times New Roman" w:hAnsi="Times New Roman"/>
          <w:szCs w:val="24"/>
          <w:lang w:eastAsia="zh-CN"/>
        </w:rPr>
        <w:t>Language: English</w:t>
      </w:r>
    </w:p>
    <w:p w14:paraId="6692AC9E" w14:textId="77777777" w:rsidR="00050C96" w:rsidRPr="00050C96" w:rsidRDefault="00050C96" w:rsidP="00050C96">
      <w:pPr>
        <w:snapToGrid w:val="0"/>
        <w:rPr>
          <w:rFonts w:ascii="Times New Roman" w:hAnsi="Times New Roman"/>
          <w:b/>
          <w:szCs w:val="24"/>
          <w:lang w:eastAsia="zh-CN"/>
        </w:rPr>
      </w:pPr>
    </w:p>
    <w:p w14:paraId="23F50E67" w14:textId="77777777" w:rsidR="00050C96" w:rsidRPr="00050C96" w:rsidRDefault="00050C96" w:rsidP="00050C96">
      <w:pPr>
        <w:autoSpaceDE w:val="0"/>
        <w:autoSpaceDN w:val="0"/>
        <w:adjustRightInd w:val="0"/>
        <w:jc w:val="both"/>
        <w:rPr>
          <w:rFonts w:ascii="Times New Roman" w:hAnsi="Times New Roman"/>
          <w:szCs w:val="24"/>
        </w:rPr>
      </w:pPr>
      <w:r w:rsidRPr="00050C96">
        <w:rPr>
          <w:rFonts w:ascii="Times New Roman" w:hAnsi="Times New Roman"/>
          <w:szCs w:val="24"/>
        </w:rPr>
        <w:t>Abstract:</w:t>
      </w:r>
    </w:p>
    <w:p w14:paraId="0B365991" w14:textId="77777777" w:rsidR="00050C96" w:rsidRPr="00050C96" w:rsidRDefault="00050C96" w:rsidP="00050C96">
      <w:pPr>
        <w:autoSpaceDE w:val="0"/>
        <w:autoSpaceDN w:val="0"/>
        <w:adjustRightInd w:val="0"/>
        <w:jc w:val="both"/>
        <w:rPr>
          <w:rFonts w:ascii="Times New Roman" w:hAnsi="Times New Roman"/>
          <w:szCs w:val="24"/>
        </w:rPr>
      </w:pPr>
      <w:r w:rsidRPr="00050C96">
        <w:rPr>
          <w:rFonts w:ascii="Times New Roman" w:hAnsi="Times New Roman"/>
          <w:szCs w:val="24"/>
        </w:rPr>
        <w:t>It has been over 20 years since the establishment of the International Tribunal for the former Yugoslavia (ICTY) and the International Criminal Tribunal for Rwanda (ICTR). Both tribunals have an impressive record of activities. They have handled the most serious, complex and sensitive cases and established a jurisprudence that guides national jurisdictions and also other international courts. They sent a very strong signal that the international community will no longer tolerate impunity, and those who commit serious international crimes will eventually be prosecuted and put on trial. The Tribunals have created a large body of jurisprudence that will influence the prosecution of international crimes in the future, and which has been to a very large extent adopted by the permanent International Criminal Court (ICC) founded in 2002.</w:t>
      </w:r>
    </w:p>
    <w:p w14:paraId="3F16C27A" w14:textId="77777777" w:rsidR="00050C96" w:rsidRPr="00050C96" w:rsidRDefault="00050C96" w:rsidP="00050C96">
      <w:pPr>
        <w:spacing w:before="120"/>
        <w:jc w:val="both"/>
        <w:rPr>
          <w:rFonts w:ascii="Times New Roman" w:hAnsi="Times New Roman"/>
          <w:szCs w:val="24"/>
        </w:rPr>
      </w:pPr>
      <w:r w:rsidRPr="00050C96">
        <w:rPr>
          <w:rFonts w:ascii="Times New Roman" w:hAnsi="Times New Roman"/>
          <w:szCs w:val="24"/>
        </w:rPr>
        <w:t>The Lecture will first discuss the Lawfulness of the ad hoc Tribunals, then, their contribution to substantive criminal law concentrating on the application of Geneva Conventions, war crimes, genocide, crimes against humanity, torture and rape. It will also dwell on the development of mode of liability, for instance, joint criminal enterprise, extension of commission, aiding and abetting and command responsibility. Finally, the lecture will also contemplate on the enrichment of International procedural law as well as some justified criticisms.</w:t>
      </w:r>
    </w:p>
    <w:p w14:paraId="672FA200" w14:textId="77777777" w:rsidR="00050C96" w:rsidRPr="00050C96" w:rsidRDefault="00050C96" w:rsidP="00050C96">
      <w:pPr>
        <w:spacing w:before="120"/>
        <w:jc w:val="both"/>
        <w:rPr>
          <w:rFonts w:ascii="Times New Roman" w:hAnsi="Times New Roman"/>
          <w:szCs w:val="24"/>
        </w:rPr>
      </w:pPr>
      <w:r w:rsidRPr="00050C96">
        <w:rPr>
          <w:rFonts w:ascii="Times New Roman" w:hAnsi="Times New Roman"/>
          <w:szCs w:val="24"/>
        </w:rPr>
        <w:t xml:space="preserve">About the Speaker: </w:t>
      </w:r>
    </w:p>
    <w:p w14:paraId="2966D87B" w14:textId="77777777" w:rsidR="00050C96" w:rsidRDefault="00050C96" w:rsidP="00050C96">
      <w:pPr>
        <w:jc w:val="both"/>
        <w:rPr>
          <w:szCs w:val="24"/>
        </w:rPr>
      </w:pPr>
      <w:r w:rsidRPr="00050C96">
        <w:rPr>
          <w:rFonts w:ascii="Times New Roman" w:hAnsi="Times New Roman"/>
          <w:b/>
          <w:szCs w:val="24"/>
        </w:rPr>
        <w:t xml:space="preserve">Liu </w:t>
      </w:r>
      <w:proofErr w:type="spellStart"/>
      <w:r w:rsidRPr="00050C96">
        <w:rPr>
          <w:rFonts w:ascii="Times New Roman" w:hAnsi="Times New Roman"/>
          <w:b/>
          <w:szCs w:val="24"/>
        </w:rPr>
        <w:t>Daqun</w:t>
      </w:r>
      <w:proofErr w:type="spellEnd"/>
      <w:r w:rsidRPr="00050C96">
        <w:rPr>
          <w:rFonts w:ascii="Times New Roman" w:hAnsi="Times New Roman"/>
          <w:szCs w:val="24"/>
        </w:rPr>
        <w:t xml:space="preserve"> is a Judge at the Appeals Chamber of the ICTY and ICTR (having been a Judge at the ICTY since 2000) and a Professor at the Center of Cooperative Innovation and Judicial Civilization of China’s University of Political Science and Law. He is a member of the Institute of International law and a judge in the UN Residual Mechanism for International Tribunals. He has been Deputy Director General of the Department of the Treaty and Law Department, Ministry of Foreign Affairs of China, and Chinese Ambassador to Jamaica. He has taught law at Peking University, the Chinese Academy of Social Sciences, </w:t>
      </w:r>
      <w:proofErr w:type="spellStart"/>
      <w:r w:rsidRPr="00050C96">
        <w:rPr>
          <w:rFonts w:ascii="Times New Roman" w:hAnsi="Times New Roman"/>
          <w:szCs w:val="24"/>
        </w:rPr>
        <w:t>Fudan</w:t>
      </w:r>
      <w:proofErr w:type="spellEnd"/>
      <w:r w:rsidRPr="00050C96">
        <w:rPr>
          <w:rFonts w:ascii="Times New Roman" w:hAnsi="Times New Roman"/>
          <w:szCs w:val="24"/>
        </w:rPr>
        <w:t xml:space="preserve"> University, and Wuhan University. He has participated in numerous delegations of the Chinese Government, including as Deputy Head and Chief Negotiator of the Chinese Delegation to the Rome Conference on the establishment of the ICC</w:t>
      </w:r>
      <w:r w:rsidRPr="00050C96">
        <w:rPr>
          <w:szCs w:val="24"/>
        </w:rPr>
        <w:t xml:space="preserve">. </w:t>
      </w:r>
    </w:p>
    <w:p w14:paraId="698BB189" w14:textId="77777777" w:rsidR="00050C96" w:rsidRDefault="00050C96" w:rsidP="00050C96">
      <w:pPr>
        <w:jc w:val="both"/>
        <w:rPr>
          <w:szCs w:val="24"/>
        </w:rPr>
      </w:pPr>
    </w:p>
    <w:p w14:paraId="2F26C038" w14:textId="77777777" w:rsidR="00344908" w:rsidRPr="00050C96" w:rsidRDefault="00344908" w:rsidP="00050C96">
      <w:pPr>
        <w:rPr>
          <w:rFonts w:ascii="Times New Roman" w:hAnsi="Times New Roman"/>
          <w:sz w:val="22"/>
        </w:rPr>
      </w:pPr>
    </w:p>
    <w:sectPr w:rsidR="00344908" w:rsidRPr="00050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ti TC">
    <w:altName w:val="Arial Unicode MS"/>
    <w:charset w:val="88"/>
    <w:family w:val="auto"/>
    <w:pitch w:val="variable"/>
    <w:sig w:usb0="00000000" w:usb1="080F0000" w:usb2="00000010" w:usb3="00000000" w:csb0="001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79"/>
    <w:rsid w:val="00050C96"/>
    <w:rsid w:val="000F1838"/>
    <w:rsid w:val="002249F0"/>
    <w:rsid w:val="00344908"/>
    <w:rsid w:val="00967079"/>
    <w:rsid w:val="00A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96"/>
    <w:pPr>
      <w:widowControl w:val="0"/>
      <w:spacing w:after="0" w:line="240" w:lineRule="auto"/>
    </w:pPr>
    <w:rPr>
      <w:rFonts w:ascii="Calibri" w:eastAsia="SimSun" w:hAnsi="Calibri" w:cs="Times New Roman"/>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0C96"/>
    <w:rPr>
      <w:rFonts w:cs="Times New Roman"/>
      <w:color w:val="0000FF"/>
      <w:u w:val="single"/>
    </w:rPr>
  </w:style>
  <w:style w:type="paragraph" w:customStyle="1" w:styleId="p1">
    <w:name w:val="p1"/>
    <w:basedOn w:val="Normal"/>
    <w:rsid w:val="000F1838"/>
    <w:pPr>
      <w:widowControl/>
      <w:jc w:val="center"/>
    </w:pPr>
    <w:rPr>
      <w:rFonts w:ascii="Times New Roman" w:eastAsiaTheme="minorEastAsia" w:hAnsi="Times New Roman"/>
      <w:kern w:val="0"/>
      <w:szCs w:val="24"/>
      <w:lang w:val="en-GB" w:eastAsia="zh-CN"/>
    </w:rPr>
  </w:style>
  <w:style w:type="character" w:customStyle="1" w:styleId="s1">
    <w:name w:val="s1"/>
    <w:basedOn w:val="DefaultParagraphFont"/>
    <w:rsid w:val="000F1838"/>
    <w:rPr>
      <w:rFonts w:ascii="Songti TC" w:eastAsia="Songti TC" w:hAnsi="Songti TC" w:hint="eastAsia"/>
      <w:color w:val="FF26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96"/>
    <w:pPr>
      <w:widowControl w:val="0"/>
      <w:spacing w:after="0" w:line="240" w:lineRule="auto"/>
    </w:pPr>
    <w:rPr>
      <w:rFonts w:ascii="Calibri" w:eastAsia="SimSun" w:hAnsi="Calibri" w:cs="Times New Roman"/>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0C96"/>
    <w:rPr>
      <w:rFonts w:cs="Times New Roman"/>
      <w:color w:val="0000FF"/>
      <w:u w:val="single"/>
    </w:rPr>
  </w:style>
  <w:style w:type="paragraph" w:customStyle="1" w:styleId="p1">
    <w:name w:val="p1"/>
    <w:basedOn w:val="Normal"/>
    <w:rsid w:val="000F1838"/>
    <w:pPr>
      <w:widowControl/>
      <w:jc w:val="center"/>
    </w:pPr>
    <w:rPr>
      <w:rFonts w:ascii="Times New Roman" w:eastAsiaTheme="minorEastAsia" w:hAnsi="Times New Roman"/>
      <w:kern w:val="0"/>
      <w:szCs w:val="24"/>
      <w:lang w:val="en-GB" w:eastAsia="zh-CN"/>
    </w:rPr>
  </w:style>
  <w:style w:type="character" w:customStyle="1" w:styleId="s1">
    <w:name w:val="s1"/>
    <w:basedOn w:val="DefaultParagraphFont"/>
    <w:rsid w:val="000F1838"/>
    <w:rPr>
      <w:rFonts w:ascii="Songti TC" w:eastAsia="Songti TC" w:hAnsi="Songti TC" w:hint="eastAsia"/>
      <w:color w:val="FF26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Dc</cp:lastModifiedBy>
  <cp:revision>5</cp:revision>
  <dcterms:created xsi:type="dcterms:W3CDTF">2014-12-01T05:05:00Z</dcterms:created>
  <dcterms:modified xsi:type="dcterms:W3CDTF">2017-10-09T02:53:00Z</dcterms:modified>
</cp:coreProperties>
</file>